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7EFE16" w14:textId="5EE1818B" w:rsidR="008B29FA" w:rsidRDefault="00F354CA"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r w:rsidRPr="00F354CA">
        <w:rPr>
          <w:rFonts w:ascii="inherit" w:eastAsia="Times New Roman" w:hAnsi="inherit" w:cs="Times New Roman"/>
          <w:b/>
          <w:bCs/>
          <w:color w:val="000000"/>
          <w:sz w:val="29"/>
          <w:szCs w:val="29"/>
          <w:bdr w:val="none" w:sz="0" w:space="0" w:color="auto" w:frame="1"/>
        </w:rPr>
        <w:t xml:space="preserve">Submit your response to the following question.  Briefly discuss the Implementation of the Inclusion workplace and its interconnectivity to Diversity - specifically within the </w:t>
      </w:r>
      <w:proofErr w:type="gramStart"/>
      <w:r w:rsidRPr="00F354CA">
        <w:rPr>
          <w:rFonts w:ascii="inherit" w:eastAsia="Times New Roman" w:hAnsi="inherit" w:cs="Times New Roman"/>
          <w:b/>
          <w:bCs/>
          <w:color w:val="000000"/>
          <w:sz w:val="29"/>
          <w:szCs w:val="29"/>
          <w:bdr w:val="none" w:sz="0" w:space="0" w:color="auto" w:frame="1"/>
        </w:rPr>
        <w:t>workplace .</w:t>
      </w:r>
      <w:proofErr w:type="gramEnd"/>
      <w:r w:rsidRPr="00F354CA">
        <w:rPr>
          <w:rFonts w:ascii="inherit" w:eastAsia="Times New Roman" w:hAnsi="inherit" w:cs="Times New Roman"/>
          <w:b/>
          <w:bCs/>
          <w:color w:val="000000"/>
          <w:sz w:val="29"/>
          <w:szCs w:val="29"/>
          <w:bdr w:val="none" w:sz="0" w:space="0" w:color="auto" w:frame="1"/>
        </w:rPr>
        <w:t xml:space="preserve">  *Do Not* copy and paste/copy content directly from the text.  Please read and provide at least a </w:t>
      </w:r>
      <w:proofErr w:type="gramStart"/>
      <w:r w:rsidRPr="00F354CA">
        <w:rPr>
          <w:rFonts w:ascii="inherit" w:eastAsia="Times New Roman" w:hAnsi="inherit" w:cs="Times New Roman"/>
          <w:b/>
          <w:bCs/>
          <w:color w:val="000000"/>
          <w:sz w:val="29"/>
          <w:szCs w:val="29"/>
          <w:bdr w:val="none" w:sz="0" w:space="0" w:color="auto" w:frame="1"/>
        </w:rPr>
        <w:t>7 sentence</w:t>
      </w:r>
      <w:proofErr w:type="gramEnd"/>
      <w:r w:rsidRPr="00F354CA">
        <w:rPr>
          <w:rFonts w:ascii="inherit" w:eastAsia="Times New Roman" w:hAnsi="inherit" w:cs="Times New Roman"/>
          <w:b/>
          <w:bCs/>
          <w:color w:val="000000"/>
          <w:sz w:val="29"/>
          <w:szCs w:val="29"/>
          <w:bdr w:val="none" w:sz="0" w:space="0" w:color="auto" w:frame="1"/>
        </w:rPr>
        <w:t xml:space="preserve"> paragraph response (in your own words) to respond to the aforementioned question.</w:t>
      </w:r>
    </w:p>
    <w:p w14:paraId="0C338C2A" w14:textId="77777777" w:rsidR="00F354CA" w:rsidRDefault="00F354CA"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119E4890" w14:textId="77777777" w:rsidR="00A8360D" w:rsidRDefault="00A8360D" w:rsidP="00607FEC">
      <w:pPr>
        <w:spacing w:after="0" w:line="240" w:lineRule="auto"/>
        <w:ind w:right="45"/>
        <w:outlineLvl w:val="2"/>
        <w:rPr>
          <w:rFonts w:ascii="inherit" w:eastAsia="Times New Roman" w:hAnsi="inherit" w:cs="Times New Roman"/>
          <w:b/>
          <w:bCs/>
          <w:color w:val="000000"/>
          <w:sz w:val="29"/>
          <w:szCs w:val="29"/>
          <w:bdr w:val="none" w:sz="0" w:space="0" w:color="auto" w:frame="1"/>
        </w:rPr>
      </w:pPr>
    </w:p>
    <w:p w14:paraId="3C036DE7" w14:textId="77777777" w:rsidR="00F354CA" w:rsidRPr="00F354CA" w:rsidRDefault="00F354CA" w:rsidP="00F354CA">
      <w:pPr>
        <w:spacing w:after="0" w:line="240" w:lineRule="auto"/>
        <w:ind w:right="45"/>
        <w:outlineLvl w:val="2"/>
        <w:rPr>
          <w:rFonts w:ascii="inherit" w:eastAsia="Times New Roman" w:hAnsi="inherit" w:cs="Times New Roman"/>
          <w:b/>
          <w:bCs/>
          <w:color w:val="111111"/>
          <w:sz w:val="29"/>
          <w:szCs w:val="29"/>
        </w:rPr>
      </w:pPr>
      <w:r w:rsidRPr="00F354CA">
        <w:rPr>
          <w:rFonts w:ascii="inherit" w:eastAsia="Times New Roman" w:hAnsi="inherit" w:cs="Times New Roman"/>
          <w:b/>
          <w:bCs/>
          <w:color w:val="000000"/>
          <w:sz w:val="29"/>
          <w:szCs w:val="29"/>
          <w:bdr w:val="none" w:sz="0" w:space="0" w:color="auto" w:frame="1"/>
        </w:rPr>
        <w:t>Chapter 18: Toward a Worldwide Inclusive Workplace: Putting the Pieces Together</w:t>
      </w:r>
      <w:r w:rsidRPr="00F354CA">
        <w:rPr>
          <w:rFonts w:ascii="inherit" w:eastAsia="Times New Roman" w:hAnsi="inherit" w:cs="Times New Roman"/>
          <w:b/>
          <w:bCs/>
          <w:color w:val="111111"/>
          <w:sz w:val="29"/>
          <w:szCs w:val="29"/>
        </w:rPr>
        <w:t xml:space="preserve"> </w:t>
      </w:r>
    </w:p>
    <w:p w14:paraId="6A9BFD33"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b/>
          <w:bCs/>
          <w:color w:val="111111"/>
          <w:sz w:val="24"/>
          <w:szCs w:val="24"/>
          <w:bdr w:val="none" w:sz="0" w:space="0" w:color="auto" w:frame="1"/>
        </w:rPr>
        <w:t>Chapter Overview</w:t>
      </w:r>
    </w:p>
    <w:p w14:paraId="7D4D75E6"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The previous chapters described the value basis, the practice applications, and the barriers to and benefits of implementing each system level of the inclusive workplace. From the micro to the macro, these levels begin with inclusion within the organization, proceed through corporate-community relations and collaborations with state/national initiatives and culminate with international collaborations. In this chapter, we put the different aspects of the inclusive workplace together and examine the implications for a broader vision of global diversity.</w:t>
      </w:r>
    </w:p>
    <w:p w14:paraId="1FB0F9BC" w14:textId="77777777" w:rsidR="00F354CA" w:rsidRPr="00F354CA" w:rsidRDefault="00F354CA" w:rsidP="00F354CA">
      <w:pPr>
        <w:spacing w:after="0" w:line="240" w:lineRule="auto"/>
        <w:outlineLvl w:val="2"/>
        <w:rPr>
          <w:rFonts w:ascii="inherit" w:eastAsia="Times New Roman" w:hAnsi="inherit" w:cs="Times New Roman"/>
          <w:b/>
          <w:bCs/>
          <w:color w:val="111111"/>
          <w:sz w:val="26"/>
          <w:szCs w:val="26"/>
        </w:rPr>
      </w:pPr>
      <w:r w:rsidRPr="00F354CA">
        <w:rPr>
          <w:rFonts w:ascii="&amp;quot" w:eastAsia="Times New Roman" w:hAnsi="&amp;quot" w:cs="Times New Roman"/>
          <w:b/>
          <w:bCs/>
          <w:color w:val="111111"/>
          <w:sz w:val="26"/>
          <w:szCs w:val="26"/>
          <w:bdr w:val="none" w:sz="0" w:space="0" w:color="auto" w:frame="1"/>
        </w:rPr>
        <w:t>The Value Base for the Inclusive Workplace</w:t>
      </w:r>
    </w:p>
    <w:p w14:paraId="63695A77"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The inclusive workplace is guided by a set of values that propel its policies and practices. The value-based model presented in Figure 18.1 of the chapter examines the organization’s value frame on each of the four system levels (the vertical y-axis) and at the two extremes of the inclusion-exclusion continuum (the horizontal x-axis). The first level of </w:t>
      </w:r>
      <w:r w:rsidRPr="00F354CA">
        <w:rPr>
          <w:rFonts w:ascii="&amp;quot" w:eastAsia="Times New Roman" w:hAnsi="&amp;quot" w:cs="Times New Roman"/>
          <w:b/>
          <w:bCs/>
          <w:i/>
          <w:iCs/>
          <w:color w:val="111111"/>
          <w:sz w:val="24"/>
          <w:szCs w:val="24"/>
          <w:bdr w:val="none" w:sz="0" w:space="0" w:color="auto" w:frame="1"/>
        </w:rPr>
        <w:t>diversity within work organizations</w:t>
      </w:r>
      <w:r w:rsidRPr="00F354CA">
        <w:rPr>
          <w:rFonts w:ascii="&amp;quot" w:eastAsia="Times New Roman" w:hAnsi="&amp;quot" w:cs="Times New Roman"/>
          <w:color w:val="111111"/>
          <w:sz w:val="24"/>
          <w:szCs w:val="24"/>
          <w:bdr w:val="none" w:sz="0" w:space="0" w:color="auto" w:frame="1"/>
        </w:rPr>
        <w:t xml:space="preserve"> relates to the organization’s internal relations with its own employees. The second level of </w:t>
      </w:r>
      <w:r w:rsidRPr="00F354CA">
        <w:rPr>
          <w:rFonts w:ascii="&amp;quot" w:eastAsia="Times New Roman" w:hAnsi="&amp;quot" w:cs="Times New Roman"/>
          <w:b/>
          <w:bCs/>
          <w:i/>
          <w:iCs/>
          <w:color w:val="111111"/>
          <w:sz w:val="24"/>
          <w:szCs w:val="24"/>
          <w:bdr w:val="none" w:sz="0" w:space="0" w:color="auto" w:frame="1"/>
        </w:rPr>
        <w:t>inclusion and corporate-community relations</w:t>
      </w:r>
      <w:r w:rsidRPr="00F354CA">
        <w:rPr>
          <w:rFonts w:ascii="&amp;quot" w:eastAsia="Times New Roman" w:hAnsi="&amp;quot" w:cs="Times New Roman"/>
          <w:color w:val="111111"/>
          <w:sz w:val="24"/>
          <w:szCs w:val="24"/>
          <w:bdr w:val="none" w:sz="0" w:space="0" w:color="auto" w:frame="1"/>
        </w:rPr>
        <w:t xml:space="preserve"> relates to the organization’s sense of being a part of its surrounding community and the reciprocity embedded in that relationship. The third level, </w:t>
      </w:r>
      <w:r w:rsidRPr="00F354CA">
        <w:rPr>
          <w:rFonts w:ascii="&amp;quot" w:eastAsia="Times New Roman" w:hAnsi="&amp;quot" w:cs="Times New Roman"/>
          <w:b/>
          <w:bCs/>
          <w:i/>
          <w:iCs/>
          <w:color w:val="111111"/>
          <w:sz w:val="24"/>
          <w:szCs w:val="24"/>
          <w:bdr w:val="none" w:sz="0" w:space="0" w:color="auto" w:frame="1"/>
        </w:rPr>
        <w:t>inclusion through state/national programs for disadvantaged groups</w:t>
      </w:r>
      <w:r w:rsidRPr="00F354CA">
        <w:rPr>
          <w:rFonts w:ascii="&amp;quot" w:eastAsia="Times New Roman" w:hAnsi="&amp;quot" w:cs="Times New Roman"/>
          <w:color w:val="111111"/>
          <w:sz w:val="24"/>
          <w:szCs w:val="24"/>
          <w:bdr w:val="none" w:sz="0" w:space="0" w:color="auto" w:frame="1"/>
        </w:rPr>
        <w:t xml:space="preserve">, refers to the values that drive organizational policies </w:t>
      </w:r>
      <w:proofErr w:type="gramStart"/>
      <w:r w:rsidRPr="00F354CA">
        <w:rPr>
          <w:rFonts w:ascii="&amp;quot" w:eastAsia="Times New Roman" w:hAnsi="&amp;quot" w:cs="Times New Roman"/>
          <w:color w:val="111111"/>
          <w:sz w:val="24"/>
          <w:szCs w:val="24"/>
          <w:bdr w:val="none" w:sz="0" w:space="0" w:color="auto" w:frame="1"/>
        </w:rPr>
        <w:t>with regard to</w:t>
      </w:r>
      <w:proofErr w:type="gramEnd"/>
      <w:r w:rsidRPr="00F354CA">
        <w:rPr>
          <w:rFonts w:ascii="&amp;quot" w:eastAsia="Times New Roman" w:hAnsi="&amp;quot" w:cs="Times New Roman"/>
          <w:color w:val="111111"/>
          <w:sz w:val="24"/>
          <w:szCs w:val="24"/>
          <w:bdr w:val="none" w:sz="0" w:space="0" w:color="auto" w:frame="1"/>
        </w:rPr>
        <w:t xml:space="preserve"> disadvantaged populations such as welfare recipients, domestic violence victims, and youth in distress. Finally, the fourth level, </w:t>
      </w:r>
      <w:r w:rsidRPr="00F354CA">
        <w:rPr>
          <w:rFonts w:ascii="&amp;quot" w:eastAsia="Times New Roman" w:hAnsi="&amp;quot" w:cs="Times New Roman"/>
          <w:b/>
          <w:bCs/>
          <w:i/>
          <w:iCs/>
          <w:color w:val="111111"/>
          <w:sz w:val="24"/>
          <w:szCs w:val="24"/>
          <w:bdr w:val="none" w:sz="0" w:space="0" w:color="auto" w:frame="1"/>
        </w:rPr>
        <w:t>inclusion through international collaborations</w:t>
      </w:r>
      <w:r w:rsidRPr="00F354CA">
        <w:rPr>
          <w:rFonts w:ascii="&amp;quot" w:eastAsia="Times New Roman" w:hAnsi="&amp;quot" w:cs="Times New Roman"/>
          <w:color w:val="111111"/>
          <w:sz w:val="24"/>
          <w:szCs w:val="24"/>
          <w:bdr w:val="none" w:sz="0" w:space="0" w:color="auto" w:frame="1"/>
        </w:rPr>
        <w:t>, refers to the organization’s positions and practices related to the fair exchange of economic goods and services and the respectful cultural relationship with individuals and groups in other countries.</w:t>
      </w:r>
    </w:p>
    <w:p w14:paraId="5BC077C5" w14:textId="77777777" w:rsidR="00F354CA" w:rsidRPr="00F354CA" w:rsidRDefault="00F354CA" w:rsidP="00F354CA">
      <w:pPr>
        <w:spacing w:after="0" w:line="240" w:lineRule="auto"/>
        <w:outlineLvl w:val="2"/>
        <w:rPr>
          <w:rFonts w:ascii="inherit" w:eastAsia="Times New Roman" w:hAnsi="inherit" w:cs="Times New Roman"/>
          <w:b/>
          <w:bCs/>
          <w:color w:val="111111"/>
          <w:sz w:val="26"/>
          <w:szCs w:val="26"/>
        </w:rPr>
      </w:pPr>
      <w:r w:rsidRPr="00F354CA">
        <w:rPr>
          <w:rFonts w:ascii="&amp;quot" w:eastAsia="Times New Roman" w:hAnsi="&amp;quot" w:cs="Times New Roman"/>
          <w:b/>
          <w:bCs/>
          <w:color w:val="111111"/>
          <w:sz w:val="26"/>
          <w:szCs w:val="26"/>
          <w:bdr w:val="none" w:sz="0" w:space="0" w:color="auto" w:frame="1"/>
        </w:rPr>
        <w:t>Implementation of the Inclusive Workplace</w:t>
      </w:r>
    </w:p>
    <w:p w14:paraId="01BFBA07"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Implementing the inclusive </w:t>
      </w:r>
      <w:proofErr w:type="gramStart"/>
      <w:r w:rsidRPr="00F354CA">
        <w:rPr>
          <w:rFonts w:ascii="&amp;quot" w:eastAsia="Times New Roman" w:hAnsi="&amp;quot" w:cs="Times New Roman"/>
          <w:color w:val="111111"/>
          <w:sz w:val="24"/>
          <w:szCs w:val="24"/>
          <w:bdr w:val="none" w:sz="0" w:space="0" w:color="auto" w:frame="1"/>
        </w:rPr>
        <w:t>work place</w:t>
      </w:r>
      <w:proofErr w:type="gramEnd"/>
      <w:r w:rsidRPr="00F354CA">
        <w:rPr>
          <w:rFonts w:ascii="&amp;quot" w:eastAsia="Times New Roman" w:hAnsi="&amp;quot" w:cs="Times New Roman"/>
          <w:color w:val="111111"/>
          <w:sz w:val="24"/>
          <w:szCs w:val="24"/>
          <w:bdr w:val="none" w:sz="0" w:space="0" w:color="auto" w:frame="1"/>
        </w:rPr>
        <w:t xml:space="preserve"> can have substantial benefits to the organization and to its employees but will present considerable barriers in the process (presented in Figure 18.2). </w:t>
      </w:r>
    </w:p>
    <w:p w14:paraId="335062E1"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The </w:t>
      </w:r>
      <w:r w:rsidRPr="00F354CA">
        <w:rPr>
          <w:rFonts w:ascii="&amp;quot" w:eastAsia="Times New Roman" w:hAnsi="&amp;quot" w:cs="Times New Roman"/>
          <w:b/>
          <w:bCs/>
          <w:color w:val="111111"/>
          <w:sz w:val="24"/>
          <w:szCs w:val="24"/>
          <w:bdr w:val="none" w:sz="0" w:space="0" w:color="auto" w:frame="1"/>
        </w:rPr>
        <w:t>main individual benefits</w:t>
      </w:r>
      <w:r w:rsidRPr="00F354CA">
        <w:rPr>
          <w:rFonts w:ascii="&amp;quot" w:eastAsia="Times New Roman" w:hAnsi="&amp;quot" w:cs="Times New Roman"/>
          <w:color w:val="111111"/>
          <w:sz w:val="24"/>
          <w:szCs w:val="24"/>
          <w:bdr w:val="none" w:sz="0" w:space="0" w:color="auto" w:frame="1"/>
        </w:rPr>
        <w:t xml:space="preserve"> at </w:t>
      </w:r>
      <w:r w:rsidRPr="00F354CA">
        <w:rPr>
          <w:rFonts w:ascii="&amp;quot" w:eastAsia="Times New Roman" w:hAnsi="&amp;quot" w:cs="Times New Roman"/>
          <w:i/>
          <w:iCs/>
          <w:color w:val="111111"/>
          <w:sz w:val="24"/>
          <w:szCs w:val="24"/>
          <w:bdr w:val="none" w:sz="0" w:space="0" w:color="auto" w:frame="1"/>
        </w:rPr>
        <w:t xml:space="preserve">level I - </w:t>
      </w:r>
      <w:r w:rsidRPr="00F354CA">
        <w:rPr>
          <w:rFonts w:ascii="&amp;quot" w:eastAsia="Times New Roman" w:hAnsi="&amp;quot" w:cs="Times New Roman"/>
          <w:color w:val="111111"/>
          <w:sz w:val="24"/>
          <w:szCs w:val="24"/>
          <w:bdr w:val="none" w:sz="0" w:space="0" w:color="auto" w:frame="1"/>
        </w:rPr>
        <w:t xml:space="preserve">inclusion through diversity in the workplace—include better access to promotion and benefits; improved job satisfaction; improved well-being for individual employees. </w:t>
      </w:r>
    </w:p>
    <w:p w14:paraId="2DEE1E65"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At the organizational level, companies may experience lower turnover and reduced absenteeism as a result of improved job satisfaction among employees; better access to high potential employees; a more committed workforce; greater appeal to clients of diverse </w:t>
      </w:r>
      <w:r w:rsidRPr="00F354CA">
        <w:rPr>
          <w:rFonts w:ascii="&amp;quot" w:eastAsia="Times New Roman" w:hAnsi="&amp;quot" w:cs="Times New Roman"/>
          <w:color w:val="111111"/>
          <w:sz w:val="24"/>
          <w:szCs w:val="24"/>
          <w:bdr w:val="none" w:sz="0" w:space="0" w:color="auto" w:frame="1"/>
        </w:rPr>
        <w:lastRenderedPageBreak/>
        <w:t xml:space="preserve">backgrounds. The likely </w:t>
      </w:r>
      <w:r w:rsidRPr="00F354CA">
        <w:rPr>
          <w:rFonts w:ascii="&amp;quot" w:eastAsia="Times New Roman" w:hAnsi="&amp;quot" w:cs="Times New Roman"/>
          <w:b/>
          <w:bCs/>
          <w:color w:val="111111"/>
          <w:sz w:val="24"/>
          <w:szCs w:val="24"/>
          <w:bdr w:val="none" w:sz="0" w:space="0" w:color="auto" w:frame="1"/>
        </w:rPr>
        <w:t>obstacles</w:t>
      </w:r>
      <w:r w:rsidRPr="00F354CA">
        <w:rPr>
          <w:rFonts w:ascii="&amp;quot" w:eastAsia="Times New Roman" w:hAnsi="&amp;quot" w:cs="Times New Roman"/>
          <w:color w:val="111111"/>
          <w:sz w:val="24"/>
          <w:szCs w:val="24"/>
          <w:bdr w:val="none" w:sz="0" w:space="0" w:color="auto" w:frame="1"/>
        </w:rPr>
        <w:t xml:space="preserve"> to implementing inclusive policies and practices at level I include prejudice, overt and covert discrimination, misunderstanding of groups from diverse backgrounds, and employees’ perceptions, as well as actual group competition in access to power within the organization.</w:t>
      </w:r>
    </w:p>
    <w:p w14:paraId="2310CC34"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At </w:t>
      </w:r>
      <w:r w:rsidRPr="00F354CA">
        <w:rPr>
          <w:rFonts w:ascii="&amp;quot" w:eastAsia="Times New Roman" w:hAnsi="&amp;quot" w:cs="Times New Roman"/>
          <w:i/>
          <w:iCs/>
          <w:color w:val="111111"/>
          <w:sz w:val="24"/>
          <w:szCs w:val="24"/>
          <w:bdr w:val="none" w:sz="0" w:space="0" w:color="auto" w:frame="1"/>
        </w:rPr>
        <w:t>level II</w:t>
      </w:r>
      <w:r w:rsidRPr="00F354CA">
        <w:rPr>
          <w:rFonts w:ascii="&amp;quot" w:eastAsia="Times New Roman" w:hAnsi="&amp;quot" w:cs="Times New Roman"/>
          <w:color w:val="111111"/>
          <w:sz w:val="24"/>
          <w:szCs w:val="24"/>
          <w:bdr w:val="none" w:sz="0" w:space="0" w:color="auto" w:frame="1"/>
        </w:rPr>
        <w:t xml:space="preserve"> –inclusion through corporate-community collaborations—benefits to individuals in the community include access to opportunities such as job training, employment, and additional services that community members would not otherwise have. The </w:t>
      </w:r>
      <w:r w:rsidRPr="00F354CA">
        <w:rPr>
          <w:rFonts w:ascii="&amp;quot" w:eastAsia="Times New Roman" w:hAnsi="&amp;quot" w:cs="Times New Roman"/>
          <w:b/>
          <w:bCs/>
          <w:color w:val="111111"/>
          <w:sz w:val="24"/>
          <w:szCs w:val="24"/>
          <w:bdr w:val="none" w:sz="0" w:space="0" w:color="auto" w:frame="1"/>
        </w:rPr>
        <w:t>organization’s</w:t>
      </w:r>
      <w:r w:rsidRPr="00F354CA">
        <w:rPr>
          <w:rFonts w:ascii="&amp;quot" w:eastAsia="Times New Roman" w:hAnsi="&amp;quot" w:cs="Times New Roman"/>
          <w:color w:val="111111"/>
          <w:sz w:val="24"/>
          <w:szCs w:val="24"/>
          <w:bdr w:val="none" w:sz="0" w:space="0" w:color="auto" w:frame="1"/>
        </w:rPr>
        <w:t xml:space="preserve"> tangible rewards include improved corporate image within as well as outside the community; advantages in recruitment; potential avoidance of mitigation of negative results of labor disputes. Shortsighted and internally focused corporate vision and economic pressures to demonstrate short-term profitability are among </w:t>
      </w:r>
      <w:r w:rsidRPr="00F354CA">
        <w:rPr>
          <w:rFonts w:ascii="&amp;quot" w:eastAsia="Times New Roman" w:hAnsi="&amp;quot" w:cs="Times New Roman"/>
          <w:b/>
          <w:bCs/>
          <w:color w:val="111111"/>
          <w:sz w:val="24"/>
          <w:szCs w:val="24"/>
          <w:bdr w:val="none" w:sz="0" w:space="0" w:color="auto" w:frame="1"/>
        </w:rPr>
        <w:t>the main barriers</w:t>
      </w:r>
      <w:r w:rsidRPr="00F354CA">
        <w:rPr>
          <w:rFonts w:ascii="&amp;quot" w:eastAsia="Times New Roman" w:hAnsi="&amp;quot" w:cs="Times New Roman"/>
          <w:color w:val="111111"/>
          <w:sz w:val="24"/>
          <w:szCs w:val="24"/>
          <w:bdr w:val="none" w:sz="0" w:space="0" w:color="auto" w:frame="1"/>
        </w:rPr>
        <w:t xml:space="preserve"> to implementing inclusive policies and programs at this level.</w:t>
      </w:r>
    </w:p>
    <w:p w14:paraId="5676B39E"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At </w:t>
      </w:r>
      <w:r w:rsidRPr="00F354CA">
        <w:rPr>
          <w:rFonts w:ascii="&amp;quot" w:eastAsia="Times New Roman" w:hAnsi="&amp;quot" w:cs="Times New Roman"/>
          <w:i/>
          <w:iCs/>
          <w:color w:val="111111"/>
          <w:sz w:val="24"/>
          <w:szCs w:val="24"/>
          <w:bdr w:val="none" w:sz="0" w:space="0" w:color="auto" w:frame="1"/>
        </w:rPr>
        <w:t>level III</w:t>
      </w:r>
      <w:r w:rsidRPr="00F354CA">
        <w:rPr>
          <w:rFonts w:ascii="&amp;quot" w:eastAsia="Times New Roman" w:hAnsi="&amp;quot" w:cs="Times New Roman"/>
          <w:color w:val="111111"/>
          <w:sz w:val="24"/>
          <w:szCs w:val="24"/>
          <w:bdr w:val="none" w:sz="0" w:space="0" w:color="auto" w:frame="1"/>
        </w:rPr>
        <w:t xml:space="preserve"> –inclusion through state/national collaborations- </w:t>
      </w:r>
      <w:r w:rsidRPr="00F354CA">
        <w:rPr>
          <w:rFonts w:ascii="&amp;quot" w:eastAsia="Times New Roman" w:hAnsi="&amp;quot" w:cs="Times New Roman"/>
          <w:b/>
          <w:bCs/>
          <w:color w:val="111111"/>
          <w:sz w:val="24"/>
          <w:szCs w:val="24"/>
          <w:bdr w:val="none" w:sz="0" w:space="0" w:color="auto" w:frame="1"/>
        </w:rPr>
        <w:t>benefits to individuals</w:t>
      </w:r>
      <w:r w:rsidRPr="00F354CA">
        <w:rPr>
          <w:rFonts w:ascii="&amp;quot" w:eastAsia="Times New Roman" w:hAnsi="&amp;quot" w:cs="Times New Roman"/>
          <w:color w:val="111111"/>
          <w:sz w:val="24"/>
          <w:szCs w:val="24"/>
          <w:bdr w:val="none" w:sz="0" w:space="0" w:color="auto" w:frame="1"/>
        </w:rPr>
        <w:t xml:space="preserve"> include potential employment with the company and improved job prospects. Work </w:t>
      </w:r>
      <w:r w:rsidRPr="00F354CA">
        <w:rPr>
          <w:rFonts w:ascii="&amp;quot" w:eastAsia="Times New Roman" w:hAnsi="&amp;quot" w:cs="Times New Roman"/>
          <w:b/>
          <w:bCs/>
          <w:color w:val="111111"/>
          <w:sz w:val="24"/>
          <w:szCs w:val="24"/>
          <w:bdr w:val="none" w:sz="0" w:space="0" w:color="auto" w:frame="1"/>
        </w:rPr>
        <w:t xml:space="preserve">organizations </w:t>
      </w:r>
      <w:r w:rsidRPr="00F354CA">
        <w:rPr>
          <w:rFonts w:ascii="&amp;quot" w:eastAsia="Times New Roman" w:hAnsi="&amp;quot" w:cs="Times New Roman"/>
          <w:color w:val="111111"/>
          <w:sz w:val="24"/>
          <w:szCs w:val="24"/>
          <w:bdr w:val="none" w:sz="0" w:space="0" w:color="auto" w:frame="1"/>
        </w:rPr>
        <w:t xml:space="preserve">may expand their potential employee pool as a result of these policies, gain a loyal work force, and improve customer relations, particularly among the disadvantaged groups but also among other clients who care about social issues. The </w:t>
      </w:r>
      <w:r w:rsidRPr="00F354CA">
        <w:rPr>
          <w:rFonts w:ascii="&amp;quot" w:eastAsia="Times New Roman" w:hAnsi="&amp;quot" w:cs="Times New Roman"/>
          <w:b/>
          <w:bCs/>
          <w:color w:val="111111"/>
          <w:sz w:val="24"/>
          <w:szCs w:val="24"/>
          <w:bdr w:val="none" w:sz="0" w:space="0" w:color="auto" w:frame="1"/>
        </w:rPr>
        <w:t>main barrier</w:t>
      </w:r>
      <w:r w:rsidRPr="00F354CA">
        <w:rPr>
          <w:rFonts w:ascii="&amp;quot" w:eastAsia="Times New Roman" w:hAnsi="&amp;quot" w:cs="Times New Roman"/>
          <w:color w:val="111111"/>
          <w:sz w:val="24"/>
          <w:szCs w:val="24"/>
          <w:bdr w:val="none" w:sz="0" w:space="0" w:color="auto" w:frame="1"/>
        </w:rPr>
        <w:t xml:space="preserve"> to implementing inclusive policies at this level consists of stereotyping disadvantaged groups as unstable and disposable labor.</w:t>
      </w:r>
    </w:p>
    <w:p w14:paraId="22D58E3D"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At </w:t>
      </w:r>
      <w:r w:rsidRPr="00F354CA">
        <w:rPr>
          <w:rFonts w:ascii="&amp;quot" w:eastAsia="Times New Roman" w:hAnsi="&amp;quot" w:cs="Times New Roman"/>
          <w:i/>
          <w:iCs/>
          <w:color w:val="111111"/>
          <w:sz w:val="24"/>
          <w:szCs w:val="24"/>
          <w:bdr w:val="none" w:sz="0" w:space="0" w:color="auto" w:frame="1"/>
        </w:rPr>
        <w:t>level IV</w:t>
      </w:r>
      <w:r w:rsidRPr="00F354CA">
        <w:rPr>
          <w:rFonts w:ascii="&amp;quot" w:eastAsia="Times New Roman" w:hAnsi="&amp;quot" w:cs="Times New Roman"/>
          <w:color w:val="111111"/>
          <w:sz w:val="24"/>
          <w:szCs w:val="24"/>
          <w:bdr w:val="none" w:sz="0" w:space="0" w:color="auto" w:frame="1"/>
        </w:rPr>
        <w:t xml:space="preserve"> –inclusion through international collaborations—</w:t>
      </w:r>
      <w:r w:rsidRPr="00F354CA">
        <w:rPr>
          <w:rFonts w:ascii="&amp;quot" w:eastAsia="Times New Roman" w:hAnsi="&amp;quot" w:cs="Times New Roman"/>
          <w:b/>
          <w:bCs/>
          <w:color w:val="111111"/>
          <w:sz w:val="24"/>
          <w:szCs w:val="24"/>
          <w:bdr w:val="none" w:sz="0" w:space="0" w:color="auto" w:frame="1"/>
        </w:rPr>
        <w:t>benefits to individuals</w:t>
      </w:r>
      <w:r w:rsidRPr="00F354CA">
        <w:rPr>
          <w:rFonts w:ascii="&amp;quot" w:eastAsia="Times New Roman" w:hAnsi="&amp;quot" w:cs="Times New Roman"/>
          <w:color w:val="111111"/>
          <w:sz w:val="24"/>
          <w:szCs w:val="24"/>
          <w:bdr w:val="none" w:sz="0" w:space="0" w:color="auto" w:frame="1"/>
        </w:rPr>
        <w:t xml:space="preserve"> in the host countries include access to job training and employment; improved life conditions for individuals, their families, and the communities they live. Treating their employees fairly and respectfully also </w:t>
      </w:r>
      <w:r w:rsidRPr="00F354CA">
        <w:rPr>
          <w:rFonts w:ascii="&amp;quot" w:eastAsia="Times New Roman" w:hAnsi="&amp;quot" w:cs="Times New Roman"/>
          <w:b/>
          <w:bCs/>
          <w:color w:val="111111"/>
          <w:sz w:val="24"/>
          <w:szCs w:val="24"/>
          <w:bdr w:val="none" w:sz="0" w:space="0" w:color="auto" w:frame="1"/>
        </w:rPr>
        <w:t>benefits organizations</w:t>
      </w:r>
      <w:r w:rsidRPr="00F354CA">
        <w:rPr>
          <w:rFonts w:ascii="&amp;quot" w:eastAsia="Times New Roman" w:hAnsi="&amp;quot" w:cs="Times New Roman"/>
          <w:color w:val="111111"/>
          <w:sz w:val="24"/>
          <w:szCs w:val="24"/>
          <w:bdr w:val="none" w:sz="0" w:space="0" w:color="auto" w:frame="1"/>
        </w:rPr>
        <w:t xml:space="preserve">, as they </w:t>
      </w:r>
      <w:proofErr w:type="gramStart"/>
      <w:r w:rsidRPr="00F354CA">
        <w:rPr>
          <w:rFonts w:ascii="&amp;quot" w:eastAsia="Times New Roman" w:hAnsi="&amp;quot" w:cs="Times New Roman"/>
          <w:color w:val="111111"/>
          <w:sz w:val="24"/>
          <w:szCs w:val="24"/>
          <w:bdr w:val="none" w:sz="0" w:space="0" w:color="auto" w:frame="1"/>
        </w:rPr>
        <w:t>are able to</w:t>
      </w:r>
      <w:proofErr w:type="gramEnd"/>
      <w:r w:rsidRPr="00F354CA">
        <w:rPr>
          <w:rFonts w:ascii="&amp;quot" w:eastAsia="Times New Roman" w:hAnsi="&amp;quot" w:cs="Times New Roman"/>
          <w:color w:val="111111"/>
          <w:sz w:val="24"/>
          <w:szCs w:val="24"/>
          <w:bdr w:val="none" w:sz="0" w:space="0" w:color="auto" w:frame="1"/>
        </w:rPr>
        <w:t xml:space="preserve"> generate goodwill from both their employees and potential customers, gain a loyal and committed workforce, and expand their economic activities. The </w:t>
      </w:r>
      <w:r w:rsidRPr="00F354CA">
        <w:rPr>
          <w:rFonts w:ascii="&amp;quot" w:eastAsia="Times New Roman" w:hAnsi="&amp;quot" w:cs="Times New Roman"/>
          <w:b/>
          <w:bCs/>
          <w:color w:val="111111"/>
          <w:sz w:val="24"/>
          <w:szCs w:val="24"/>
          <w:bdr w:val="none" w:sz="0" w:space="0" w:color="auto" w:frame="1"/>
        </w:rPr>
        <w:t>main barriers</w:t>
      </w:r>
      <w:r w:rsidRPr="00F354CA">
        <w:rPr>
          <w:rFonts w:ascii="&amp;quot" w:eastAsia="Times New Roman" w:hAnsi="&amp;quot" w:cs="Times New Roman"/>
          <w:color w:val="111111"/>
          <w:sz w:val="24"/>
          <w:szCs w:val="24"/>
          <w:bdr w:val="none" w:sz="0" w:space="0" w:color="auto" w:frame="1"/>
        </w:rPr>
        <w:t xml:space="preserve"> related to applying the principles of the inclusive workplace with respect to the international collaborations are greed, cultural and national difficulties in communication, and unfair or inappropriate consideration of diversity in employment conditions of both local employees and expatriates.</w:t>
      </w:r>
    </w:p>
    <w:p w14:paraId="75BE8BD4" w14:textId="77777777" w:rsidR="00F354CA" w:rsidRPr="00F354CA" w:rsidRDefault="00F354CA" w:rsidP="00F354CA">
      <w:pPr>
        <w:spacing w:after="0" w:line="240" w:lineRule="auto"/>
        <w:outlineLvl w:val="1"/>
        <w:rPr>
          <w:rFonts w:ascii="inherit" w:eastAsia="Times New Roman" w:hAnsi="inherit" w:cs="Times New Roman"/>
          <w:b/>
          <w:bCs/>
          <w:color w:val="111111"/>
          <w:sz w:val="30"/>
          <w:szCs w:val="30"/>
        </w:rPr>
      </w:pPr>
      <w:r w:rsidRPr="00F354CA">
        <w:rPr>
          <w:rFonts w:ascii="&amp;quot" w:eastAsia="Times New Roman" w:hAnsi="&amp;quot" w:cs="Times New Roman"/>
          <w:b/>
          <w:bCs/>
          <w:color w:val="111111"/>
          <w:sz w:val="30"/>
          <w:szCs w:val="30"/>
          <w:bdr w:val="none" w:sz="0" w:space="0" w:color="auto" w:frame="1"/>
        </w:rPr>
        <w:t>Conclusion</w:t>
      </w:r>
    </w:p>
    <w:p w14:paraId="2A0743C5"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The economic, social, and demographic trends described in part I of the book create an environment that is fertile grounds for intergroup conflicts, as explained in part II of the book. The legislative and social policy initiatives taken by individual countries, and by the international </w:t>
      </w:r>
      <w:proofErr w:type="gramStart"/>
      <w:r w:rsidRPr="00F354CA">
        <w:rPr>
          <w:rFonts w:ascii="&amp;quot" w:eastAsia="Times New Roman" w:hAnsi="&amp;quot" w:cs="Times New Roman"/>
          <w:color w:val="111111"/>
          <w:sz w:val="24"/>
          <w:szCs w:val="24"/>
          <w:bdr w:val="none" w:sz="0" w:space="0" w:color="auto" w:frame="1"/>
        </w:rPr>
        <w:t>community as a whole, mitigate</w:t>
      </w:r>
      <w:proofErr w:type="gramEnd"/>
      <w:r w:rsidRPr="00F354CA">
        <w:rPr>
          <w:rFonts w:ascii="&amp;quot" w:eastAsia="Times New Roman" w:hAnsi="&amp;quot" w:cs="Times New Roman"/>
          <w:color w:val="111111"/>
          <w:sz w:val="24"/>
          <w:szCs w:val="24"/>
          <w:bdr w:val="none" w:sz="0" w:space="0" w:color="auto" w:frame="1"/>
        </w:rPr>
        <w:t xml:space="preserve"> potential harmful effects and define “the rules of the game” for work organizations. It is important to understand, though, that these trends are not only a backdrop or context for organizations to consider; they also define the </w:t>
      </w:r>
      <w:r w:rsidRPr="00F354CA">
        <w:rPr>
          <w:rFonts w:ascii="&amp;quot" w:eastAsia="Times New Roman" w:hAnsi="&amp;quot" w:cs="Times New Roman"/>
          <w:i/>
          <w:iCs/>
          <w:color w:val="111111"/>
          <w:sz w:val="24"/>
          <w:szCs w:val="24"/>
          <w:bdr w:val="none" w:sz="0" w:space="0" w:color="auto" w:frame="1"/>
        </w:rPr>
        <w:t xml:space="preserve">scope </w:t>
      </w:r>
      <w:r w:rsidRPr="00F354CA">
        <w:rPr>
          <w:rFonts w:ascii="&amp;quot" w:eastAsia="Times New Roman" w:hAnsi="&amp;quot" w:cs="Times New Roman"/>
          <w:color w:val="111111"/>
          <w:sz w:val="24"/>
          <w:szCs w:val="24"/>
          <w:bdr w:val="none" w:sz="0" w:space="0" w:color="auto" w:frame="1"/>
        </w:rPr>
        <w:t xml:space="preserve">of what companies need to consider as their domain when they design diversity policies and programs. In order to avoid the pitfalls and reap the benefits of a diverse workforce, employers need to adopt a </w:t>
      </w:r>
      <w:r w:rsidRPr="00F354CA">
        <w:rPr>
          <w:rFonts w:ascii="&amp;quot" w:eastAsia="Times New Roman" w:hAnsi="&amp;quot" w:cs="Times New Roman"/>
          <w:i/>
          <w:iCs/>
          <w:color w:val="111111"/>
          <w:sz w:val="24"/>
          <w:szCs w:val="24"/>
          <w:bdr w:val="none" w:sz="0" w:space="0" w:color="auto" w:frame="1"/>
        </w:rPr>
        <w:t>broader vision of inclusion</w:t>
      </w:r>
      <w:r w:rsidRPr="00F354CA">
        <w:rPr>
          <w:rFonts w:ascii="&amp;quot" w:eastAsia="Times New Roman" w:hAnsi="&amp;quot" w:cs="Times New Roman"/>
          <w:color w:val="111111"/>
          <w:sz w:val="24"/>
          <w:szCs w:val="24"/>
          <w:bdr w:val="none" w:sz="0" w:space="0" w:color="auto" w:frame="1"/>
        </w:rPr>
        <w:t xml:space="preserve">, a vision that encompasses only the organization itself but also its surrounding community and its national and international environment. </w:t>
      </w:r>
    </w:p>
    <w:p w14:paraId="73BFAADD" w14:textId="77777777" w:rsidR="00F354CA" w:rsidRPr="00F354CA" w:rsidRDefault="00F354CA" w:rsidP="00F354CA">
      <w:pPr>
        <w:spacing w:after="0" w:line="240" w:lineRule="auto"/>
        <w:rPr>
          <w:rFonts w:ascii="inherit" w:eastAsia="Times New Roman" w:hAnsi="inherit" w:cs="Times New Roman"/>
          <w:color w:val="111111"/>
          <w:sz w:val="24"/>
          <w:szCs w:val="24"/>
        </w:rPr>
      </w:pPr>
      <w:r w:rsidRPr="00F354CA">
        <w:rPr>
          <w:rFonts w:ascii="&amp;quot" w:eastAsia="Times New Roman" w:hAnsi="&amp;quot" w:cs="Times New Roman"/>
          <w:color w:val="111111"/>
          <w:sz w:val="24"/>
          <w:szCs w:val="24"/>
          <w:bdr w:val="none" w:sz="0" w:space="0" w:color="auto" w:frame="1"/>
        </w:rPr>
        <w:t xml:space="preserve">An inclusive workplace allows, encourages, and facilitates the inclusion of individual employees who are different from the mainstream in the organizational information networks and decision-making processes at each of the four levels—from the organization, through the community and state, to the international. This inclusive workplace offers a broad vision for managing diversity in today’s global economy, one that contains </w:t>
      </w:r>
      <w:r w:rsidRPr="00F354CA">
        <w:rPr>
          <w:rFonts w:ascii="&amp;quot" w:eastAsia="Times New Roman" w:hAnsi="&amp;quot" w:cs="Times New Roman"/>
          <w:color w:val="111111"/>
          <w:sz w:val="24"/>
          <w:szCs w:val="24"/>
          <w:bdr w:val="none" w:sz="0" w:space="0" w:color="auto" w:frame="1"/>
        </w:rPr>
        <w:lastRenderedPageBreak/>
        <w:t xml:space="preserve">individuals and groups that have a direct or indirect stake in the organization, such as potential future employees, customers, and investors, all of whom are also increasingly diverse. </w:t>
      </w:r>
    </w:p>
    <w:p w14:paraId="097C1A78" w14:textId="77777777" w:rsidR="00607FEC" w:rsidRDefault="00607FEC">
      <w:bookmarkStart w:id="0" w:name="_GoBack"/>
      <w:bookmarkEnd w:id="0"/>
    </w:p>
    <w:sectPr w:rsidR="00607F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A529CC"/>
    <w:multiLevelType w:val="multilevel"/>
    <w:tmpl w:val="4398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5741BC"/>
    <w:multiLevelType w:val="multilevel"/>
    <w:tmpl w:val="329AB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4B72CFE"/>
    <w:multiLevelType w:val="multilevel"/>
    <w:tmpl w:val="95AC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957294D"/>
    <w:multiLevelType w:val="multilevel"/>
    <w:tmpl w:val="65340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67B2069"/>
    <w:multiLevelType w:val="multilevel"/>
    <w:tmpl w:val="44C82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7133EFC"/>
    <w:multiLevelType w:val="multilevel"/>
    <w:tmpl w:val="076AD3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E8568CD"/>
    <w:multiLevelType w:val="multilevel"/>
    <w:tmpl w:val="927A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0991CEC"/>
    <w:multiLevelType w:val="multilevel"/>
    <w:tmpl w:val="9EC696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2F4661E"/>
    <w:multiLevelType w:val="multilevel"/>
    <w:tmpl w:val="C6AA209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4596FB2"/>
    <w:multiLevelType w:val="multilevel"/>
    <w:tmpl w:val="97147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D276E4"/>
    <w:multiLevelType w:val="multilevel"/>
    <w:tmpl w:val="C58C3A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6E62681"/>
    <w:multiLevelType w:val="multilevel"/>
    <w:tmpl w:val="BF98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B913E6A"/>
    <w:multiLevelType w:val="multilevel"/>
    <w:tmpl w:val="520CED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12"/>
  </w:num>
  <w:num w:numId="4">
    <w:abstractNumId w:val="8"/>
  </w:num>
  <w:num w:numId="5">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6">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7">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8">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9">
    <w:abstractNumId w:val="8"/>
    <w:lvlOverride w:ilvl="1">
      <w:lvl w:ilvl="1">
        <w:numFmt w:val="bullet"/>
        <w:lvlText w:val="o"/>
        <w:lvlJc w:val="left"/>
        <w:pPr>
          <w:tabs>
            <w:tab w:val="num" w:pos="1440"/>
          </w:tabs>
          <w:ind w:left="1440" w:hanging="360"/>
        </w:pPr>
        <w:rPr>
          <w:rFonts w:ascii="Courier New" w:hAnsi="Courier New" w:hint="default"/>
          <w:sz w:val="20"/>
        </w:rPr>
      </w:lvl>
    </w:lvlOverride>
  </w:num>
  <w:num w:numId="10">
    <w:abstractNumId w:val="5"/>
  </w:num>
  <w:num w:numId="11">
    <w:abstractNumId w:val="3"/>
  </w:num>
  <w:num w:numId="12">
    <w:abstractNumId w:val="0"/>
  </w:num>
  <w:num w:numId="13">
    <w:abstractNumId w:val="11"/>
  </w:num>
  <w:num w:numId="14">
    <w:abstractNumId w:val="9"/>
  </w:num>
  <w:num w:numId="15">
    <w:abstractNumId w:val="1"/>
  </w:num>
  <w:num w:numId="16">
    <w:abstractNumId w:val="2"/>
  </w:num>
  <w:num w:numId="17">
    <w:abstractNumId w:val="4"/>
  </w:num>
  <w:num w:numId="18">
    <w:abstractNumId w:val="10"/>
  </w:num>
  <w:num w:numId="19">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 w:numId="20">
    <w:abstractNumId w:val="10"/>
    <w:lvlOverride w:ilvl="1">
      <w:lvl w:ilvl="1">
        <w:numFmt w:val="bullet"/>
        <w:lvlText w:val="o"/>
        <w:lvlJc w:val="left"/>
        <w:pPr>
          <w:tabs>
            <w:tab w:val="num" w:pos="1440"/>
          </w:tabs>
          <w:ind w:left="1440" w:hanging="360"/>
        </w:pPr>
        <w:rPr>
          <w:rFonts w:ascii="Courier New" w:hAnsi="Courier New"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FEC"/>
    <w:rsid w:val="00043971"/>
    <w:rsid w:val="001A1723"/>
    <w:rsid w:val="00276AB5"/>
    <w:rsid w:val="00364BC1"/>
    <w:rsid w:val="00386EC8"/>
    <w:rsid w:val="004A6F8B"/>
    <w:rsid w:val="004E1FB2"/>
    <w:rsid w:val="00584E15"/>
    <w:rsid w:val="005A33F1"/>
    <w:rsid w:val="00607FEC"/>
    <w:rsid w:val="00620583"/>
    <w:rsid w:val="00681F3A"/>
    <w:rsid w:val="006845CF"/>
    <w:rsid w:val="00814FFD"/>
    <w:rsid w:val="008B29FA"/>
    <w:rsid w:val="009A6BED"/>
    <w:rsid w:val="00A8360D"/>
    <w:rsid w:val="00DD1F7D"/>
    <w:rsid w:val="00F354CA"/>
    <w:rsid w:val="00F363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C9A81"/>
  <w15:chartTrackingRefBased/>
  <w15:docId w15:val="{684B5D33-D8DE-43CD-A624-7957A92148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1172303">
      <w:bodyDiv w:val="1"/>
      <w:marLeft w:val="0"/>
      <w:marRight w:val="0"/>
      <w:marTop w:val="0"/>
      <w:marBottom w:val="0"/>
      <w:divBdr>
        <w:top w:val="none" w:sz="0" w:space="0" w:color="auto"/>
        <w:left w:val="none" w:sz="0" w:space="0" w:color="auto"/>
        <w:bottom w:val="none" w:sz="0" w:space="0" w:color="auto"/>
        <w:right w:val="none" w:sz="0" w:space="0" w:color="auto"/>
      </w:divBdr>
      <w:divsChild>
        <w:div w:id="916592738">
          <w:marLeft w:val="0"/>
          <w:marRight w:val="0"/>
          <w:marTop w:val="0"/>
          <w:marBottom w:val="0"/>
          <w:divBdr>
            <w:top w:val="none" w:sz="0" w:space="0" w:color="auto"/>
            <w:left w:val="none" w:sz="0" w:space="0" w:color="auto"/>
            <w:bottom w:val="none" w:sz="0" w:space="0" w:color="auto"/>
            <w:right w:val="none" w:sz="0" w:space="0" w:color="auto"/>
          </w:divBdr>
        </w:div>
      </w:divsChild>
    </w:div>
    <w:div w:id="86314702">
      <w:bodyDiv w:val="1"/>
      <w:marLeft w:val="0"/>
      <w:marRight w:val="0"/>
      <w:marTop w:val="0"/>
      <w:marBottom w:val="0"/>
      <w:divBdr>
        <w:top w:val="none" w:sz="0" w:space="0" w:color="auto"/>
        <w:left w:val="none" w:sz="0" w:space="0" w:color="auto"/>
        <w:bottom w:val="none" w:sz="0" w:space="0" w:color="auto"/>
        <w:right w:val="none" w:sz="0" w:space="0" w:color="auto"/>
      </w:divBdr>
      <w:divsChild>
        <w:div w:id="654377754">
          <w:marLeft w:val="0"/>
          <w:marRight w:val="0"/>
          <w:marTop w:val="0"/>
          <w:marBottom w:val="0"/>
          <w:divBdr>
            <w:top w:val="none" w:sz="0" w:space="0" w:color="auto"/>
            <w:left w:val="none" w:sz="0" w:space="0" w:color="auto"/>
            <w:bottom w:val="none" w:sz="0" w:space="0" w:color="auto"/>
            <w:right w:val="none" w:sz="0" w:space="0" w:color="auto"/>
          </w:divBdr>
        </w:div>
      </w:divsChild>
    </w:div>
    <w:div w:id="129790368">
      <w:bodyDiv w:val="1"/>
      <w:marLeft w:val="0"/>
      <w:marRight w:val="0"/>
      <w:marTop w:val="0"/>
      <w:marBottom w:val="0"/>
      <w:divBdr>
        <w:top w:val="none" w:sz="0" w:space="0" w:color="auto"/>
        <w:left w:val="none" w:sz="0" w:space="0" w:color="auto"/>
        <w:bottom w:val="none" w:sz="0" w:space="0" w:color="auto"/>
        <w:right w:val="none" w:sz="0" w:space="0" w:color="auto"/>
      </w:divBdr>
      <w:divsChild>
        <w:div w:id="1196886133">
          <w:marLeft w:val="0"/>
          <w:marRight w:val="0"/>
          <w:marTop w:val="0"/>
          <w:marBottom w:val="0"/>
          <w:divBdr>
            <w:top w:val="none" w:sz="0" w:space="0" w:color="auto"/>
            <w:left w:val="none" w:sz="0" w:space="0" w:color="auto"/>
            <w:bottom w:val="none" w:sz="0" w:space="0" w:color="auto"/>
            <w:right w:val="none" w:sz="0" w:space="0" w:color="auto"/>
          </w:divBdr>
        </w:div>
      </w:divsChild>
    </w:div>
    <w:div w:id="298923740">
      <w:bodyDiv w:val="1"/>
      <w:marLeft w:val="0"/>
      <w:marRight w:val="0"/>
      <w:marTop w:val="0"/>
      <w:marBottom w:val="0"/>
      <w:divBdr>
        <w:top w:val="none" w:sz="0" w:space="0" w:color="auto"/>
        <w:left w:val="none" w:sz="0" w:space="0" w:color="auto"/>
        <w:bottom w:val="none" w:sz="0" w:space="0" w:color="auto"/>
        <w:right w:val="none" w:sz="0" w:space="0" w:color="auto"/>
      </w:divBdr>
      <w:divsChild>
        <w:div w:id="1093937385">
          <w:marLeft w:val="0"/>
          <w:marRight w:val="0"/>
          <w:marTop w:val="0"/>
          <w:marBottom w:val="0"/>
          <w:divBdr>
            <w:top w:val="none" w:sz="0" w:space="0" w:color="auto"/>
            <w:left w:val="none" w:sz="0" w:space="0" w:color="auto"/>
            <w:bottom w:val="none" w:sz="0" w:space="0" w:color="auto"/>
            <w:right w:val="none" w:sz="0" w:space="0" w:color="auto"/>
          </w:divBdr>
        </w:div>
      </w:divsChild>
    </w:div>
    <w:div w:id="630211993">
      <w:bodyDiv w:val="1"/>
      <w:marLeft w:val="0"/>
      <w:marRight w:val="0"/>
      <w:marTop w:val="0"/>
      <w:marBottom w:val="0"/>
      <w:divBdr>
        <w:top w:val="none" w:sz="0" w:space="0" w:color="auto"/>
        <w:left w:val="none" w:sz="0" w:space="0" w:color="auto"/>
        <w:bottom w:val="none" w:sz="0" w:space="0" w:color="auto"/>
        <w:right w:val="none" w:sz="0" w:space="0" w:color="auto"/>
      </w:divBdr>
      <w:divsChild>
        <w:div w:id="1450316332">
          <w:marLeft w:val="0"/>
          <w:marRight w:val="0"/>
          <w:marTop w:val="0"/>
          <w:marBottom w:val="0"/>
          <w:divBdr>
            <w:top w:val="none" w:sz="0" w:space="0" w:color="auto"/>
            <w:left w:val="none" w:sz="0" w:space="0" w:color="auto"/>
            <w:bottom w:val="none" w:sz="0" w:space="0" w:color="auto"/>
            <w:right w:val="none" w:sz="0" w:space="0" w:color="auto"/>
          </w:divBdr>
        </w:div>
      </w:divsChild>
    </w:div>
    <w:div w:id="715590888">
      <w:bodyDiv w:val="1"/>
      <w:marLeft w:val="0"/>
      <w:marRight w:val="0"/>
      <w:marTop w:val="0"/>
      <w:marBottom w:val="0"/>
      <w:divBdr>
        <w:top w:val="none" w:sz="0" w:space="0" w:color="auto"/>
        <w:left w:val="none" w:sz="0" w:space="0" w:color="auto"/>
        <w:bottom w:val="none" w:sz="0" w:space="0" w:color="auto"/>
        <w:right w:val="none" w:sz="0" w:space="0" w:color="auto"/>
      </w:divBdr>
    </w:div>
    <w:div w:id="813834330">
      <w:bodyDiv w:val="1"/>
      <w:marLeft w:val="0"/>
      <w:marRight w:val="0"/>
      <w:marTop w:val="0"/>
      <w:marBottom w:val="0"/>
      <w:divBdr>
        <w:top w:val="none" w:sz="0" w:space="0" w:color="auto"/>
        <w:left w:val="none" w:sz="0" w:space="0" w:color="auto"/>
        <w:bottom w:val="none" w:sz="0" w:space="0" w:color="auto"/>
        <w:right w:val="none" w:sz="0" w:space="0" w:color="auto"/>
      </w:divBdr>
      <w:divsChild>
        <w:div w:id="1206527937">
          <w:marLeft w:val="0"/>
          <w:marRight w:val="0"/>
          <w:marTop w:val="0"/>
          <w:marBottom w:val="0"/>
          <w:divBdr>
            <w:top w:val="none" w:sz="0" w:space="0" w:color="auto"/>
            <w:left w:val="none" w:sz="0" w:space="0" w:color="auto"/>
            <w:bottom w:val="none" w:sz="0" w:space="0" w:color="auto"/>
            <w:right w:val="none" w:sz="0" w:space="0" w:color="auto"/>
          </w:divBdr>
        </w:div>
      </w:divsChild>
    </w:div>
    <w:div w:id="825440512">
      <w:bodyDiv w:val="1"/>
      <w:marLeft w:val="0"/>
      <w:marRight w:val="0"/>
      <w:marTop w:val="0"/>
      <w:marBottom w:val="0"/>
      <w:divBdr>
        <w:top w:val="none" w:sz="0" w:space="0" w:color="auto"/>
        <w:left w:val="none" w:sz="0" w:space="0" w:color="auto"/>
        <w:bottom w:val="none" w:sz="0" w:space="0" w:color="auto"/>
        <w:right w:val="none" w:sz="0" w:space="0" w:color="auto"/>
      </w:divBdr>
      <w:divsChild>
        <w:div w:id="1566061229">
          <w:marLeft w:val="0"/>
          <w:marRight w:val="0"/>
          <w:marTop w:val="0"/>
          <w:marBottom w:val="0"/>
          <w:divBdr>
            <w:top w:val="none" w:sz="0" w:space="0" w:color="auto"/>
            <w:left w:val="none" w:sz="0" w:space="0" w:color="auto"/>
            <w:bottom w:val="none" w:sz="0" w:space="0" w:color="auto"/>
            <w:right w:val="none" w:sz="0" w:space="0" w:color="auto"/>
          </w:divBdr>
        </w:div>
      </w:divsChild>
    </w:div>
    <w:div w:id="1095177031">
      <w:bodyDiv w:val="1"/>
      <w:marLeft w:val="0"/>
      <w:marRight w:val="0"/>
      <w:marTop w:val="0"/>
      <w:marBottom w:val="0"/>
      <w:divBdr>
        <w:top w:val="none" w:sz="0" w:space="0" w:color="auto"/>
        <w:left w:val="none" w:sz="0" w:space="0" w:color="auto"/>
        <w:bottom w:val="none" w:sz="0" w:space="0" w:color="auto"/>
        <w:right w:val="none" w:sz="0" w:space="0" w:color="auto"/>
      </w:divBdr>
      <w:divsChild>
        <w:div w:id="9184987">
          <w:marLeft w:val="0"/>
          <w:marRight w:val="0"/>
          <w:marTop w:val="0"/>
          <w:marBottom w:val="0"/>
          <w:divBdr>
            <w:top w:val="none" w:sz="0" w:space="0" w:color="auto"/>
            <w:left w:val="none" w:sz="0" w:space="0" w:color="auto"/>
            <w:bottom w:val="none" w:sz="0" w:space="0" w:color="auto"/>
            <w:right w:val="none" w:sz="0" w:space="0" w:color="auto"/>
          </w:divBdr>
        </w:div>
      </w:divsChild>
    </w:div>
    <w:div w:id="1225990796">
      <w:bodyDiv w:val="1"/>
      <w:marLeft w:val="0"/>
      <w:marRight w:val="0"/>
      <w:marTop w:val="0"/>
      <w:marBottom w:val="0"/>
      <w:divBdr>
        <w:top w:val="none" w:sz="0" w:space="0" w:color="auto"/>
        <w:left w:val="none" w:sz="0" w:space="0" w:color="auto"/>
        <w:bottom w:val="none" w:sz="0" w:space="0" w:color="auto"/>
        <w:right w:val="none" w:sz="0" w:space="0" w:color="auto"/>
      </w:divBdr>
      <w:divsChild>
        <w:div w:id="825364323">
          <w:marLeft w:val="0"/>
          <w:marRight w:val="0"/>
          <w:marTop w:val="0"/>
          <w:marBottom w:val="0"/>
          <w:divBdr>
            <w:top w:val="none" w:sz="0" w:space="0" w:color="auto"/>
            <w:left w:val="none" w:sz="0" w:space="0" w:color="auto"/>
            <w:bottom w:val="none" w:sz="0" w:space="0" w:color="auto"/>
            <w:right w:val="none" w:sz="0" w:space="0" w:color="auto"/>
          </w:divBdr>
        </w:div>
      </w:divsChild>
    </w:div>
    <w:div w:id="1253078084">
      <w:bodyDiv w:val="1"/>
      <w:marLeft w:val="0"/>
      <w:marRight w:val="0"/>
      <w:marTop w:val="0"/>
      <w:marBottom w:val="0"/>
      <w:divBdr>
        <w:top w:val="none" w:sz="0" w:space="0" w:color="auto"/>
        <w:left w:val="none" w:sz="0" w:space="0" w:color="auto"/>
        <w:bottom w:val="none" w:sz="0" w:space="0" w:color="auto"/>
        <w:right w:val="none" w:sz="0" w:space="0" w:color="auto"/>
      </w:divBdr>
      <w:divsChild>
        <w:div w:id="693851320">
          <w:marLeft w:val="0"/>
          <w:marRight w:val="0"/>
          <w:marTop w:val="0"/>
          <w:marBottom w:val="0"/>
          <w:divBdr>
            <w:top w:val="none" w:sz="0" w:space="0" w:color="auto"/>
            <w:left w:val="none" w:sz="0" w:space="0" w:color="auto"/>
            <w:bottom w:val="none" w:sz="0" w:space="0" w:color="auto"/>
            <w:right w:val="none" w:sz="0" w:space="0" w:color="auto"/>
          </w:divBdr>
        </w:div>
      </w:divsChild>
    </w:div>
    <w:div w:id="1295519647">
      <w:bodyDiv w:val="1"/>
      <w:marLeft w:val="0"/>
      <w:marRight w:val="0"/>
      <w:marTop w:val="0"/>
      <w:marBottom w:val="0"/>
      <w:divBdr>
        <w:top w:val="none" w:sz="0" w:space="0" w:color="auto"/>
        <w:left w:val="none" w:sz="0" w:space="0" w:color="auto"/>
        <w:bottom w:val="none" w:sz="0" w:space="0" w:color="auto"/>
        <w:right w:val="none" w:sz="0" w:space="0" w:color="auto"/>
      </w:divBdr>
      <w:divsChild>
        <w:div w:id="1543059679">
          <w:marLeft w:val="0"/>
          <w:marRight w:val="0"/>
          <w:marTop w:val="0"/>
          <w:marBottom w:val="0"/>
          <w:divBdr>
            <w:top w:val="none" w:sz="0" w:space="0" w:color="auto"/>
            <w:left w:val="none" w:sz="0" w:space="0" w:color="auto"/>
            <w:bottom w:val="none" w:sz="0" w:space="0" w:color="auto"/>
            <w:right w:val="none" w:sz="0" w:space="0" w:color="auto"/>
          </w:divBdr>
        </w:div>
      </w:divsChild>
    </w:div>
    <w:div w:id="1354188865">
      <w:bodyDiv w:val="1"/>
      <w:marLeft w:val="0"/>
      <w:marRight w:val="0"/>
      <w:marTop w:val="0"/>
      <w:marBottom w:val="0"/>
      <w:divBdr>
        <w:top w:val="none" w:sz="0" w:space="0" w:color="auto"/>
        <w:left w:val="none" w:sz="0" w:space="0" w:color="auto"/>
        <w:bottom w:val="none" w:sz="0" w:space="0" w:color="auto"/>
        <w:right w:val="none" w:sz="0" w:space="0" w:color="auto"/>
      </w:divBdr>
      <w:divsChild>
        <w:div w:id="1636327886">
          <w:marLeft w:val="0"/>
          <w:marRight w:val="0"/>
          <w:marTop w:val="0"/>
          <w:marBottom w:val="0"/>
          <w:divBdr>
            <w:top w:val="none" w:sz="0" w:space="0" w:color="auto"/>
            <w:left w:val="none" w:sz="0" w:space="0" w:color="auto"/>
            <w:bottom w:val="none" w:sz="0" w:space="0" w:color="auto"/>
            <w:right w:val="none" w:sz="0" w:space="0" w:color="auto"/>
          </w:divBdr>
        </w:div>
      </w:divsChild>
    </w:div>
    <w:div w:id="1673751849">
      <w:bodyDiv w:val="1"/>
      <w:marLeft w:val="0"/>
      <w:marRight w:val="0"/>
      <w:marTop w:val="0"/>
      <w:marBottom w:val="0"/>
      <w:divBdr>
        <w:top w:val="none" w:sz="0" w:space="0" w:color="auto"/>
        <w:left w:val="none" w:sz="0" w:space="0" w:color="auto"/>
        <w:bottom w:val="none" w:sz="0" w:space="0" w:color="auto"/>
        <w:right w:val="none" w:sz="0" w:space="0" w:color="auto"/>
      </w:divBdr>
      <w:divsChild>
        <w:div w:id="2074962270">
          <w:marLeft w:val="0"/>
          <w:marRight w:val="0"/>
          <w:marTop w:val="0"/>
          <w:marBottom w:val="0"/>
          <w:divBdr>
            <w:top w:val="none" w:sz="0" w:space="0" w:color="auto"/>
            <w:left w:val="none" w:sz="0" w:space="0" w:color="auto"/>
            <w:bottom w:val="none" w:sz="0" w:space="0" w:color="auto"/>
            <w:right w:val="none" w:sz="0" w:space="0" w:color="auto"/>
          </w:divBdr>
        </w:div>
      </w:divsChild>
    </w:div>
    <w:div w:id="1796098032">
      <w:bodyDiv w:val="1"/>
      <w:marLeft w:val="0"/>
      <w:marRight w:val="0"/>
      <w:marTop w:val="0"/>
      <w:marBottom w:val="0"/>
      <w:divBdr>
        <w:top w:val="none" w:sz="0" w:space="0" w:color="auto"/>
        <w:left w:val="none" w:sz="0" w:space="0" w:color="auto"/>
        <w:bottom w:val="none" w:sz="0" w:space="0" w:color="auto"/>
        <w:right w:val="none" w:sz="0" w:space="0" w:color="auto"/>
      </w:divBdr>
      <w:divsChild>
        <w:div w:id="1831213314">
          <w:marLeft w:val="0"/>
          <w:marRight w:val="0"/>
          <w:marTop w:val="0"/>
          <w:marBottom w:val="0"/>
          <w:divBdr>
            <w:top w:val="none" w:sz="0" w:space="0" w:color="auto"/>
            <w:left w:val="none" w:sz="0" w:space="0" w:color="auto"/>
            <w:bottom w:val="none" w:sz="0" w:space="0" w:color="auto"/>
            <w:right w:val="none" w:sz="0" w:space="0" w:color="auto"/>
          </w:divBdr>
        </w:div>
      </w:divsChild>
    </w:div>
    <w:div w:id="1987853574">
      <w:bodyDiv w:val="1"/>
      <w:marLeft w:val="0"/>
      <w:marRight w:val="0"/>
      <w:marTop w:val="0"/>
      <w:marBottom w:val="0"/>
      <w:divBdr>
        <w:top w:val="none" w:sz="0" w:space="0" w:color="auto"/>
        <w:left w:val="none" w:sz="0" w:space="0" w:color="auto"/>
        <w:bottom w:val="none" w:sz="0" w:space="0" w:color="auto"/>
        <w:right w:val="none" w:sz="0" w:space="0" w:color="auto"/>
      </w:divBdr>
      <w:divsChild>
        <w:div w:id="1935941434">
          <w:marLeft w:val="0"/>
          <w:marRight w:val="0"/>
          <w:marTop w:val="0"/>
          <w:marBottom w:val="0"/>
          <w:divBdr>
            <w:top w:val="none" w:sz="0" w:space="0" w:color="auto"/>
            <w:left w:val="none" w:sz="0" w:space="0" w:color="auto"/>
            <w:bottom w:val="none" w:sz="0" w:space="0" w:color="auto"/>
            <w:right w:val="none" w:sz="0" w:space="0" w:color="auto"/>
          </w:divBdr>
        </w:div>
      </w:divsChild>
    </w:div>
    <w:div w:id="2012445404">
      <w:bodyDiv w:val="1"/>
      <w:marLeft w:val="0"/>
      <w:marRight w:val="0"/>
      <w:marTop w:val="0"/>
      <w:marBottom w:val="0"/>
      <w:divBdr>
        <w:top w:val="none" w:sz="0" w:space="0" w:color="auto"/>
        <w:left w:val="none" w:sz="0" w:space="0" w:color="auto"/>
        <w:bottom w:val="none" w:sz="0" w:space="0" w:color="auto"/>
        <w:right w:val="none" w:sz="0" w:space="0" w:color="auto"/>
      </w:divBdr>
      <w:divsChild>
        <w:div w:id="1542548587">
          <w:marLeft w:val="0"/>
          <w:marRight w:val="0"/>
          <w:marTop w:val="0"/>
          <w:marBottom w:val="0"/>
          <w:divBdr>
            <w:top w:val="none" w:sz="0" w:space="0" w:color="auto"/>
            <w:left w:val="none" w:sz="0" w:space="0" w:color="auto"/>
            <w:bottom w:val="none" w:sz="0" w:space="0" w:color="auto"/>
            <w:right w:val="none" w:sz="0" w:space="0" w:color="auto"/>
          </w:divBdr>
        </w:div>
      </w:divsChild>
    </w:div>
    <w:div w:id="2122800538">
      <w:bodyDiv w:val="1"/>
      <w:marLeft w:val="0"/>
      <w:marRight w:val="0"/>
      <w:marTop w:val="0"/>
      <w:marBottom w:val="0"/>
      <w:divBdr>
        <w:top w:val="none" w:sz="0" w:space="0" w:color="auto"/>
        <w:left w:val="none" w:sz="0" w:space="0" w:color="auto"/>
        <w:bottom w:val="none" w:sz="0" w:space="0" w:color="auto"/>
        <w:right w:val="none" w:sz="0" w:space="0" w:color="auto"/>
      </w:divBdr>
      <w:divsChild>
        <w:div w:id="10585495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1024</Words>
  <Characters>5837</Characters>
  <Application>Microsoft Office Word</Application>
  <DocSecurity>0</DocSecurity>
  <Lines>48</Lines>
  <Paragraphs>13</Paragraphs>
  <ScaleCrop>false</ScaleCrop>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Aguilar</dc:creator>
  <cp:keywords/>
  <dc:description/>
  <cp:lastModifiedBy>Katherine Aguilar</cp:lastModifiedBy>
  <cp:revision>2</cp:revision>
  <dcterms:created xsi:type="dcterms:W3CDTF">2020-04-09T08:54:00Z</dcterms:created>
  <dcterms:modified xsi:type="dcterms:W3CDTF">2020-04-09T08:54:00Z</dcterms:modified>
</cp:coreProperties>
</file>